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B45C" w14:textId="77777777" w:rsidR="003C012F" w:rsidRDefault="003C012F">
      <w:pPr>
        <w:pStyle w:val="Tekstpodstawowy"/>
        <w:spacing w:before="0"/>
        <w:ind w:left="0"/>
        <w:jc w:val="left"/>
        <w:rPr>
          <w:sz w:val="18"/>
        </w:rPr>
      </w:pPr>
    </w:p>
    <w:p w14:paraId="3C871067" w14:textId="77777777" w:rsidR="003C012F" w:rsidRDefault="0006249C">
      <w:pPr>
        <w:pStyle w:val="Tytu"/>
      </w:pPr>
      <w:r>
        <w:t>Klauzula</w:t>
      </w:r>
      <w:r>
        <w:rPr>
          <w:spacing w:val="-3"/>
        </w:rPr>
        <w:t xml:space="preserve"> </w:t>
      </w:r>
      <w:r>
        <w:t>informacyjna</w:t>
      </w:r>
    </w:p>
    <w:p w14:paraId="5916EABC" w14:textId="77777777" w:rsidR="00553A10" w:rsidRDefault="00553A10">
      <w:pPr>
        <w:pStyle w:val="Tytu"/>
      </w:pPr>
    </w:p>
    <w:p w14:paraId="435B3348" w14:textId="17AE4072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sz w:val="24"/>
          <w:szCs w:val="24"/>
        </w:rPr>
        <w:t xml:space="preserve">                       </w:t>
      </w:r>
      <w:r w:rsidRPr="00BF6E4F">
        <w:rPr>
          <w:sz w:val="24"/>
          <w:szCs w:val="24"/>
        </w:rPr>
        <w:t>z przetwarzaniem danych osobowych i w sprawie swobodnego przepływu takich danych oraz uchylenia dyrektywy 95/46/WE (ogólne rozporządzenie o ochronie danych)</w:t>
      </w:r>
    </w:p>
    <w:p w14:paraId="1CCB2DD8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( Dz.Urz.UE.L.2016.119.1) organizator przetargu informuje, że:</w:t>
      </w:r>
    </w:p>
    <w:p w14:paraId="39AA8565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- Administratorem danych osobowych jest Nadleśnictwo Zielona Góra</w:t>
      </w:r>
      <w:r>
        <w:rPr>
          <w:sz w:val="24"/>
          <w:szCs w:val="24"/>
        </w:rPr>
        <w:t>,</w:t>
      </w:r>
      <w:r w:rsidRPr="00BF6E4F">
        <w:rPr>
          <w:sz w:val="24"/>
          <w:szCs w:val="24"/>
        </w:rPr>
        <w:t xml:space="preserve"> Rybno 31, 65-9</w:t>
      </w:r>
      <w:r>
        <w:rPr>
          <w:sz w:val="24"/>
          <w:szCs w:val="24"/>
        </w:rPr>
        <w:t>43</w:t>
      </w:r>
      <w:r w:rsidRPr="00BF6E4F">
        <w:rPr>
          <w:sz w:val="24"/>
          <w:szCs w:val="24"/>
        </w:rPr>
        <w:t xml:space="preserve"> </w:t>
      </w:r>
      <w:r>
        <w:rPr>
          <w:sz w:val="24"/>
          <w:szCs w:val="24"/>
        </w:rPr>
        <w:t>Rybno,</w:t>
      </w:r>
      <w:r w:rsidRPr="00BF6E4F">
        <w:rPr>
          <w:sz w:val="24"/>
          <w:szCs w:val="24"/>
        </w:rPr>
        <w:t xml:space="preserve"> zwane dalej Administratorem, tel.: +48 68 326 53 52 e-mail: zielonagora@zielonagora.lasy.gov.pl.</w:t>
      </w:r>
    </w:p>
    <w:p w14:paraId="5DCC49EF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- Z Inspektorem Ochrony Danych można skontaktować się na adres e-mail: iod@comp-net.pl.</w:t>
      </w:r>
    </w:p>
    <w:p w14:paraId="013D324A" w14:textId="35110C4E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 xml:space="preserve">- Dane osobowe przetwarzane będą w celu przeprowadzenia przetargu </w:t>
      </w:r>
      <w:r w:rsidRPr="00553A10">
        <w:rPr>
          <w:sz w:val="24"/>
          <w:szCs w:val="24"/>
        </w:rPr>
        <w:t xml:space="preserve">na najem pomieszczenia garażowego znajdującego się w Rybnie 31 </w:t>
      </w:r>
      <w:r w:rsidRPr="00BF6E4F">
        <w:rPr>
          <w:sz w:val="24"/>
          <w:szCs w:val="24"/>
        </w:rPr>
        <w:t>oraz w celu wykonania umowy zawartej w wyniku tego przetargu.</w:t>
      </w:r>
    </w:p>
    <w:p w14:paraId="23BEF9E8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- Przetwarzanie danych osobowych odbywa się na podstawie:</w:t>
      </w:r>
    </w:p>
    <w:p w14:paraId="5E28FC84" w14:textId="516459E0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1) art. 6 ust. 1 lit. c) RODO – niezbędne do wypełnienia obowiązku prawnego ciążącego na Administratorze</w:t>
      </w:r>
      <w:r>
        <w:rPr>
          <w:sz w:val="24"/>
          <w:szCs w:val="24"/>
        </w:rPr>
        <w:t xml:space="preserve">, </w:t>
      </w:r>
    </w:p>
    <w:p w14:paraId="656C4C83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2) art. 6 ust. 1 lit. b) RODO – przetwarzanie jest niezbędne do wykonania umowy, lub do podjęcia działań przed zawarciem umowy.</w:t>
      </w:r>
    </w:p>
    <w:p w14:paraId="06C02166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- Dane osobowe mogą zostać ujawnione jednostkom organizacyjnym PGL Lasy Państwowe, dostawcom usług prawnych i doradczych, podmiotom, z których usług Administrator Danych będzie korzystał w ramach realizacji umów.</w:t>
      </w:r>
    </w:p>
    <w:p w14:paraId="5F9A2BB3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- Dane osobowe pozyskane w związku z prowadzeniem niniejszego postępowania o udzielenie publicznego przetargu pisemnego będą przechowywane zgodnie z Jednolitym Rzeczowym Wykazem Akt obowiązującym u Zamawiającego.</w:t>
      </w:r>
    </w:p>
    <w:p w14:paraId="388B4BB8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- Stosownie do art. 22 RODO, decyzje dotyczące danych osobowych nie będą podejmowane</w:t>
      </w:r>
      <w:r w:rsidRPr="00BF6E4F">
        <w:rPr>
          <w:sz w:val="24"/>
          <w:szCs w:val="24"/>
        </w:rPr>
        <w:br/>
        <w:t>w sposób zautomatyzowany, w tym również w formie profilowania.</w:t>
      </w:r>
    </w:p>
    <w:p w14:paraId="52E49594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- Osoba, której dotyczą pozyskane w związku z prowadzeniem niniejszego postępowania dane osobowe, ma prawo:</w:t>
      </w:r>
    </w:p>
    <w:p w14:paraId="264B3066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• dostępu do swoich danych osobowych – zgodnie z art. 15 RODO;</w:t>
      </w:r>
    </w:p>
    <w:p w14:paraId="2D8C8688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• do sprostowania swoich danych osobowych – zgodnie z art. 16 RODO;</w:t>
      </w:r>
    </w:p>
    <w:p w14:paraId="0311E235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• do żądania od Nadleśnictwa Zielona Góra 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601FB3B7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• 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3B3E509F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- Obowiązek podania danych osobowych jest wymogiem ustawowym oraz umownym; niepodanie określonych danych będzie skutkowało brakiem możliwości przystąpienia do przeta</w:t>
      </w:r>
      <w:r>
        <w:rPr>
          <w:sz w:val="24"/>
          <w:szCs w:val="24"/>
        </w:rPr>
        <w:t>r</w:t>
      </w:r>
      <w:r w:rsidRPr="00BF6E4F">
        <w:rPr>
          <w:sz w:val="24"/>
          <w:szCs w:val="24"/>
        </w:rPr>
        <w:t>gu oraz zawarcie umowy.</w:t>
      </w:r>
    </w:p>
    <w:p w14:paraId="60A7A5C6" w14:textId="1732D939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 xml:space="preserve">- Osobie, której dane osobowe zostały pozyskane przez </w:t>
      </w:r>
      <w:r w:rsidR="002A5988">
        <w:rPr>
          <w:sz w:val="24"/>
          <w:szCs w:val="24"/>
        </w:rPr>
        <w:t>Nadleśnictwo Zielona Góra</w:t>
      </w:r>
      <w:r w:rsidRPr="00BF6E4F">
        <w:rPr>
          <w:sz w:val="24"/>
          <w:szCs w:val="24"/>
        </w:rPr>
        <w:t xml:space="preserve"> w związku</w:t>
      </w:r>
      <w:r w:rsidR="002A5988">
        <w:rPr>
          <w:sz w:val="24"/>
          <w:szCs w:val="24"/>
        </w:rPr>
        <w:t xml:space="preserve"> </w:t>
      </w:r>
      <w:r w:rsidRPr="00BF6E4F">
        <w:rPr>
          <w:sz w:val="24"/>
          <w:szCs w:val="24"/>
        </w:rPr>
        <w:t>z prowadzeniem niniejszego przetargu nie przysługuje:</w:t>
      </w:r>
    </w:p>
    <w:p w14:paraId="1A8F77BF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 xml:space="preserve">• prawo do usunięcia danych osobowych, o czym przesądza art. 17 ust. 3 lit. b, d lub e RODO, </w:t>
      </w:r>
    </w:p>
    <w:p w14:paraId="0CF1938F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• prawo do przenoszenia danych osobowych, o którym mowa w art. 20 RODO,</w:t>
      </w:r>
    </w:p>
    <w:p w14:paraId="2AB69F21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t>• określone w art. 21 RODO prawo sprzeciwu wobec przetwarzania danych osobowych, a to</w:t>
      </w:r>
      <w:r w:rsidRPr="00BF6E4F">
        <w:rPr>
          <w:sz w:val="24"/>
          <w:szCs w:val="24"/>
        </w:rPr>
        <w:br/>
        <w:t>z uwagi na fakt, że podstawą prawną przetwarzania danych osobowych jest art. 6 ust. 1 lit.</w:t>
      </w:r>
      <w:r w:rsidRPr="00BF6E4F">
        <w:rPr>
          <w:sz w:val="24"/>
          <w:szCs w:val="24"/>
        </w:rPr>
        <w:br/>
        <w:t xml:space="preserve">c RODO. </w:t>
      </w:r>
    </w:p>
    <w:p w14:paraId="3B038816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  <w:r w:rsidRPr="00BF6E4F">
        <w:rPr>
          <w:sz w:val="24"/>
          <w:szCs w:val="24"/>
        </w:rPr>
        <w:lastRenderedPageBreak/>
        <w:t>- Dane osobowe mogą być przekazywane do organów publicznych i urzędów państwowych lub innych podmiotów upoważnionych na podstawie przepisów prawa lub wykonujących zadania realizowane w interesie publicznym lub w ramach sprawowania władzy publicznej,</w:t>
      </w:r>
      <w:r w:rsidRPr="00BF6E4F">
        <w:rPr>
          <w:sz w:val="24"/>
          <w:szCs w:val="24"/>
        </w:rPr>
        <w:br/>
        <w:t>w szczególności do podmiotów prowadzących działalność kontrolną wobec Nadleśnictwa Zielona Góra.</w:t>
      </w:r>
    </w:p>
    <w:p w14:paraId="11887854" w14:textId="77777777" w:rsidR="00553A10" w:rsidRPr="00BF6E4F" w:rsidRDefault="00553A10" w:rsidP="00553A10">
      <w:pPr>
        <w:tabs>
          <w:tab w:val="left" w:pos="6300"/>
        </w:tabs>
        <w:ind w:left="426"/>
        <w:jc w:val="both"/>
        <w:rPr>
          <w:sz w:val="24"/>
          <w:szCs w:val="24"/>
        </w:rPr>
      </w:pPr>
    </w:p>
    <w:p w14:paraId="1C2F6D7C" w14:textId="77777777" w:rsidR="00553A10" w:rsidRDefault="00553A10" w:rsidP="00F94F73">
      <w:pPr>
        <w:pStyle w:val="Tekstpodstawowy"/>
        <w:spacing w:before="180"/>
        <w:ind w:left="0" w:right="-46"/>
      </w:pPr>
    </w:p>
    <w:p w14:paraId="1211A149" w14:textId="77777777" w:rsidR="00553A10" w:rsidRDefault="00553A10" w:rsidP="00F94F73">
      <w:pPr>
        <w:pStyle w:val="Tekstpodstawowy"/>
        <w:spacing w:before="180"/>
        <w:ind w:left="0" w:right="-46"/>
      </w:pPr>
    </w:p>
    <w:p w14:paraId="493C5676" w14:textId="77777777" w:rsidR="00553A10" w:rsidRDefault="00553A10" w:rsidP="00F94F73">
      <w:pPr>
        <w:pStyle w:val="Tekstpodstawowy"/>
        <w:spacing w:before="180"/>
        <w:ind w:left="0" w:right="-46"/>
      </w:pPr>
    </w:p>
    <w:p w14:paraId="343E5490" w14:textId="77777777" w:rsidR="00553A10" w:rsidRDefault="00553A10" w:rsidP="00F94F73">
      <w:pPr>
        <w:pStyle w:val="Tekstpodstawowy"/>
        <w:spacing w:before="180"/>
        <w:ind w:left="0" w:right="-46"/>
      </w:pPr>
    </w:p>
    <w:p w14:paraId="7AAB2E97" w14:textId="22AE5266" w:rsidR="003C012F" w:rsidRPr="00F94F73" w:rsidRDefault="003C012F" w:rsidP="00DB57A5">
      <w:pPr>
        <w:pStyle w:val="Akapitzlist"/>
        <w:tabs>
          <w:tab w:val="left" w:pos="419"/>
        </w:tabs>
        <w:spacing w:before="0" w:line="230" w:lineRule="exact"/>
        <w:ind w:left="0" w:right="-46" w:firstLine="0"/>
        <w:rPr>
          <w:sz w:val="20"/>
          <w:szCs w:val="20"/>
        </w:rPr>
      </w:pPr>
    </w:p>
    <w:sectPr w:rsidR="003C012F" w:rsidRPr="00F94F73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0D14"/>
    <w:multiLevelType w:val="hybridMultilevel"/>
    <w:tmpl w:val="F356E9EA"/>
    <w:lvl w:ilvl="0" w:tplc="5B0C3346">
      <w:start w:val="1"/>
      <w:numFmt w:val="decimal"/>
      <w:lvlText w:val="%1."/>
      <w:lvlJc w:val="left"/>
      <w:pPr>
        <w:ind w:left="344" w:hanging="2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B546218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87B46A82">
      <w:numFmt w:val="bullet"/>
      <w:lvlText w:val="•"/>
      <w:lvlJc w:val="left"/>
      <w:pPr>
        <w:ind w:left="1762" w:hanging="348"/>
      </w:pPr>
      <w:rPr>
        <w:rFonts w:hint="default"/>
        <w:lang w:val="pl-PL" w:eastAsia="en-US" w:bidi="ar-SA"/>
      </w:rPr>
    </w:lvl>
    <w:lvl w:ilvl="3" w:tplc="83BC5FF4">
      <w:numFmt w:val="bullet"/>
      <w:lvlText w:val="•"/>
      <w:lvlJc w:val="left"/>
      <w:pPr>
        <w:ind w:left="2705" w:hanging="348"/>
      </w:pPr>
      <w:rPr>
        <w:rFonts w:hint="default"/>
        <w:lang w:val="pl-PL" w:eastAsia="en-US" w:bidi="ar-SA"/>
      </w:rPr>
    </w:lvl>
    <w:lvl w:ilvl="4" w:tplc="6F1AB232">
      <w:numFmt w:val="bullet"/>
      <w:lvlText w:val="•"/>
      <w:lvlJc w:val="left"/>
      <w:pPr>
        <w:ind w:left="3648" w:hanging="348"/>
      </w:pPr>
      <w:rPr>
        <w:rFonts w:hint="default"/>
        <w:lang w:val="pl-PL" w:eastAsia="en-US" w:bidi="ar-SA"/>
      </w:rPr>
    </w:lvl>
    <w:lvl w:ilvl="5" w:tplc="BEA66D0C">
      <w:numFmt w:val="bullet"/>
      <w:lvlText w:val="•"/>
      <w:lvlJc w:val="left"/>
      <w:pPr>
        <w:ind w:left="4591" w:hanging="348"/>
      </w:pPr>
      <w:rPr>
        <w:rFonts w:hint="default"/>
        <w:lang w:val="pl-PL" w:eastAsia="en-US" w:bidi="ar-SA"/>
      </w:rPr>
    </w:lvl>
    <w:lvl w:ilvl="6" w:tplc="DA545C96">
      <w:numFmt w:val="bullet"/>
      <w:lvlText w:val="•"/>
      <w:lvlJc w:val="left"/>
      <w:pPr>
        <w:ind w:left="5534" w:hanging="348"/>
      </w:pPr>
      <w:rPr>
        <w:rFonts w:hint="default"/>
        <w:lang w:val="pl-PL" w:eastAsia="en-US" w:bidi="ar-SA"/>
      </w:rPr>
    </w:lvl>
    <w:lvl w:ilvl="7" w:tplc="592C47D0">
      <w:numFmt w:val="bullet"/>
      <w:lvlText w:val="•"/>
      <w:lvlJc w:val="left"/>
      <w:pPr>
        <w:ind w:left="6477" w:hanging="348"/>
      </w:pPr>
      <w:rPr>
        <w:rFonts w:hint="default"/>
        <w:lang w:val="pl-PL" w:eastAsia="en-US" w:bidi="ar-SA"/>
      </w:rPr>
    </w:lvl>
    <w:lvl w:ilvl="8" w:tplc="4CCEDFCA">
      <w:numFmt w:val="bullet"/>
      <w:lvlText w:val="•"/>
      <w:lvlJc w:val="left"/>
      <w:pPr>
        <w:ind w:left="7420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5FB059E"/>
    <w:multiLevelType w:val="hybridMultilevel"/>
    <w:tmpl w:val="6F6C17A8"/>
    <w:lvl w:ilvl="0" w:tplc="E8EC3E24">
      <w:start w:val="1"/>
      <w:numFmt w:val="lowerLetter"/>
      <w:lvlText w:val="%1)"/>
      <w:lvlJc w:val="left"/>
      <w:pPr>
        <w:ind w:left="116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45E4214">
      <w:numFmt w:val="bullet"/>
      <w:lvlText w:val="•"/>
      <w:lvlJc w:val="left"/>
      <w:pPr>
        <w:ind w:left="1038" w:hanging="276"/>
      </w:pPr>
      <w:rPr>
        <w:rFonts w:hint="default"/>
        <w:lang w:val="pl-PL" w:eastAsia="en-US" w:bidi="ar-SA"/>
      </w:rPr>
    </w:lvl>
    <w:lvl w:ilvl="2" w:tplc="75BC17D6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E760E8E6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4EC43DD4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74FC4C12">
      <w:numFmt w:val="bullet"/>
      <w:lvlText w:val="•"/>
      <w:lvlJc w:val="left"/>
      <w:pPr>
        <w:ind w:left="4713" w:hanging="276"/>
      </w:pPr>
      <w:rPr>
        <w:rFonts w:hint="default"/>
        <w:lang w:val="pl-PL" w:eastAsia="en-US" w:bidi="ar-SA"/>
      </w:rPr>
    </w:lvl>
    <w:lvl w:ilvl="6" w:tplc="CAE8C928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A806786A">
      <w:numFmt w:val="bullet"/>
      <w:lvlText w:val="•"/>
      <w:lvlJc w:val="left"/>
      <w:pPr>
        <w:ind w:left="6550" w:hanging="276"/>
      </w:pPr>
      <w:rPr>
        <w:rFonts w:hint="default"/>
        <w:lang w:val="pl-PL" w:eastAsia="en-US" w:bidi="ar-SA"/>
      </w:rPr>
    </w:lvl>
    <w:lvl w:ilvl="8" w:tplc="FFBA1F6E">
      <w:numFmt w:val="bullet"/>
      <w:lvlText w:val="•"/>
      <w:lvlJc w:val="left"/>
      <w:pPr>
        <w:ind w:left="7469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2C503799"/>
    <w:multiLevelType w:val="hybridMultilevel"/>
    <w:tmpl w:val="6B1681C2"/>
    <w:lvl w:ilvl="0" w:tplc="95A45A56">
      <w:start w:val="9"/>
      <w:numFmt w:val="decimal"/>
      <w:lvlText w:val="%1."/>
      <w:lvlJc w:val="left"/>
      <w:pPr>
        <w:ind w:left="33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8A88928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31BC764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63802A0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0DC0BABA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E87A1B56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335C9676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C2A6E156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385A66AC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num w:numId="1" w16cid:durableId="632560275">
    <w:abstractNumId w:val="2"/>
  </w:num>
  <w:num w:numId="2" w16cid:durableId="766510588">
    <w:abstractNumId w:val="1"/>
  </w:num>
  <w:num w:numId="3" w16cid:durableId="65734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2F"/>
    <w:rsid w:val="0006249C"/>
    <w:rsid w:val="000D07D9"/>
    <w:rsid w:val="001028F0"/>
    <w:rsid w:val="001A232D"/>
    <w:rsid w:val="002939A3"/>
    <w:rsid w:val="002A5988"/>
    <w:rsid w:val="003C012F"/>
    <w:rsid w:val="003C2D39"/>
    <w:rsid w:val="00515E69"/>
    <w:rsid w:val="005373E1"/>
    <w:rsid w:val="00553A10"/>
    <w:rsid w:val="00690A14"/>
    <w:rsid w:val="007321F5"/>
    <w:rsid w:val="009933B5"/>
    <w:rsid w:val="00DB57A5"/>
    <w:rsid w:val="00EB523B"/>
    <w:rsid w:val="00F63E95"/>
    <w:rsid w:val="00F94F73"/>
    <w:rsid w:val="00FE7780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9EE8B"/>
  <w15:docId w15:val="{0E880866-C65C-4009-B7AB-8C7BDD8E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116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7"/>
      <w:ind w:left="3362" w:right="336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9"/>
      <w:ind w:left="824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553A10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rsid w:val="00553A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3A10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53A1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88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8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Nadleśnictwo Zielona Gora</cp:lastModifiedBy>
  <cp:revision>2</cp:revision>
  <dcterms:created xsi:type="dcterms:W3CDTF">2024-07-12T06:41:00Z</dcterms:created>
  <dcterms:modified xsi:type="dcterms:W3CDTF">2024-07-12T06:41:00Z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